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0432" w14:textId="3E58AD6C" w:rsidR="005C7CA3" w:rsidRDefault="005C7CA3"/>
    <w:p w14:paraId="6B01E1C5" w14:textId="423F4517" w:rsidR="00DA0D9C" w:rsidRDefault="00DA0D9C"/>
    <w:p w14:paraId="104A6D62" w14:textId="1252FCE8" w:rsidR="00DA0D9C" w:rsidRDefault="00DA0D9C"/>
    <w:p w14:paraId="14BCFB85" w14:textId="4D567018" w:rsidR="00DA0D9C" w:rsidRDefault="00DA0D9C">
      <w:pPr>
        <w:rPr>
          <w:b/>
          <w:bCs/>
          <w:u w:val="single"/>
        </w:rPr>
      </w:pPr>
      <w:r w:rsidRPr="00DA0D9C">
        <w:rPr>
          <w:b/>
          <w:bCs/>
          <w:u w:val="single"/>
        </w:rPr>
        <w:t>ENFERMEDAD INFLAMATORIA PÉLVICA</w:t>
      </w:r>
    </w:p>
    <w:p w14:paraId="081731FF" w14:textId="7CE5BEFA" w:rsidR="00DA0D9C" w:rsidRDefault="00DA0D9C">
      <w:pPr>
        <w:rPr>
          <w:b/>
          <w:bCs/>
          <w:u w:val="single"/>
        </w:rPr>
      </w:pPr>
    </w:p>
    <w:p w14:paraId="14DC77A1" w14:textId="08DC852B" w:rsidR="00DA0D9C" w:rsidRPr="00DA0D9C" w:rsidRDefault="00DA0D9C">
      <w:pPr>
        <w:rPr>
          <w:b/>
          <w:bCs/>
        </w:rPr>
      </w:pPr>
      <w:r w:rsidRPr="00DA0D9C">
        <w:rPr>
          <w:b/>
          <w:bCs/>
        </w:rPr>
        <w:t>Hallazgos ecográficos</w:t>
      </w:r>
    </w:p>
    <w:p w14:paraId="0C886000" w14:textId="66D79473" w:rsidR="00DA0D9C" w:rsidRDefault="00DA0D9C"/>
    <w:p w14:paraId="7766DF4F" w14:textId="45FE9AC1" w:rsidR="00DA0D9C" w:rsidRDefault="00DA0D9C">
      <w:pPr>
        <w:rPr>
          <w:u w:val="single"/>
        </w:rPr>
      </w:pPr>
      <w:r w:rsidRPr="00DA0D9C">
        <w:rPr>
          <w:u w:val="single"/>
        </w:rPr>
        <w:t>Fase aguda</w:t>
      </w:r>
    </w:p>
    <w:p w14:paraId="5383CA4F" w14:textId="77777777" w:rsidR="00DA0D9C" w:rsidRPr="00DA0D9C" w:rsidRDefault="00DA0D9C">
      <w:pPr>
        <w:rPr>
          <w:u w:val="single"/>
        </w:rPr>
      </w:pPr>
    </w:p>
    <w:p w14:paraId="1BBD5684" w14:textId="30F93D8E" w:rsidR="00DA0D9C" w:rsidRPr="00DA0D9C" w:rsidRDefault="00DA0D9C" w:rsidP="00DA0D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s-ES_tradnl"/>
        </w:rPr>
      </w:pPr>
      <w:r w:rsidRPr="00DA0D9C">
        <w:rPr>
          <w:rFonts w:cstheme="minorHAnsi"/>
          <w:color w:val="000000"/>
          <w:sz w:val="22"/>
          <w:szCs w:val="22"/>
          <w:lang w:val="es-ES_tradnl"/>
        </w:rPr>
        <w:t>Pared trompa gruesa</w:t>
      </w:r>
      <w:r>
        <w:rPr>
          <w:rFonts w:cstheme="minorHAnsi"/>
          <w:color w:val="000000"/>
          <w:sz w:val="22"/>
          <w:szCs w:val="22"/>
          <w:lang w:val="es-ES_tradnl"/>
        </w:rPr>
        <w:t xml:space="preserve"> (</w:t>
      </w:r>
      <w:r>
        <w:rPr>
          <w:rFonts w:cstheme="minorHAnsi"/>
          <w:color w:val="000000"/>
          <w:sz w:val="22"/>
          <w:szCs w:val="22"/>
          <w:lang w:val="es-ES_tradnl"/>
        </w:rPr>
        <w:sym w:font="Symbol" w:char="F0B3"/>
      </w:r>
      <w:r>
        <w:rPr>
          <w:rFonts w:cstheme="minorHAnsi"/>
          <w:color w:val="000000"/>
          <w:sz w:val="22"/>
          <w:szCs w:val="22"/>
          <w:lang w:val="es-ES_tradnl"/>
        </w:rPr>
        <w:t xml:space="preserve"> 5 mm)</w:t>
      </w:r>
    </w:p>
    <w:p w14:paraId="49ACC5DE" w14:textId="64BB36A4" w:rsidR="00DA0D9C" w:rsidRPr="00DA0D9C" w:rsidRDefault="00DA0D9C" w:rsidP="00DA0D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s-ES_tradnl"/>
        </w:rPr>
      </w:pPr>
      <w:r w:rsidRPr="00DA0D9C">
        <w:rPr>
          <w:rFonts w:cstheme="minorHAnsi"/>
          <w:color w:val="000000"/>
          <w:sz w:val="22"/>
          <w:szCs w:val="22"/>
          <w:lang w:val="es-ES_tradnl"/>
        </w:rPr>
        <w:t>Septos incompletos</w:t>
      </w:r>
      <w:r>
        <w:rPr>
          <w:rFonts w:cstheme="minorHAnsi"/>
          <w:color w:val="000000"/>
          <w:sz w:val="22"/>
          <w:szCs w:val="22"/>
          <w:lang w:val="es-ES_tradnl"/>
        </w:rPr>
        <w:t xml:space="preserve"> </w:t>
      </w:r>
    </w:p>
    <w:p w14:paraId="042FAD2B" w14:textId="7D2C2B68" w:rsidR="00DA0D9C" w:rsidRPr="00DA0D9C" w:rsidRDefault="00DA0D9C" w:rsidP="00DA0D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s-ES_tradnl"/>
        </w:rPr>
      </w:pPr>
      <w:r w:rsidRPr="00DA0D9C">
        <w:rPr>
          <w:rFonts w:cstheme="minorHAnsi"/>
          <w:color w:val="000000"/>
          <w:sz w:val="22"/>
          <w:szCs w:val="22"/>
          <w:lang w:val="es-ES_tradnl"/>
        </w:rPr>
        <w:t>Signo de la rueda dentada</w:t>
      </w:r>
      <w:r>
        <w:rPr>
          <w:rFonts w:cstheme="minorHAnsi"/>
          <w:color w:val="000000"/>
          <w:sz w:val="22"/>
          <w:szCs w:val="22"/>
          <w:lang w:val="es-ES_tradnl"/>
        </w:rPr>
        <w:t>*</w:t>
      </w:r>
    </w:p>
    <w:p w14:paraId="34130418" w14:textId="2A2762BF" w:rsidR="00DA0D9C" w:rsidRPr="00DA0D9C" w:rsidRDefault="00DA0D9C" w:rsidP="00DA0D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s-ES_tradnl"/>
        </w:rPr>
      </w:pPr>
      <w:r w:rsidRPr="00DA0D9C">
        <w:rPr>
          <w:rFonts w:cstheme="minorHAnsi"/>
          <w:color w:val="000000"/>
          <w:sz w:val="22"/>
          <w:szCs w:val="22"/>
          <w:lang w:val="es-ES_tradnl"/>
        </w:rPr>
        <w:t xml:space="preserve">Complejo </w:t>
      </w:r>
      <w:r>
        <w:rPr>
          <w:rFonts w:cstheme="minorHAnsi"/>
          <w:color w:val="000000"/>
          <w:sz w:val="22"/>
          <w:szCs w:val="22"/>
          <w:lang w:val="es-ES_tradnl"/>
        </w:rPr>
        <w:t xml:space="preserve">tubo-ovárico* </w:t>
      </w:r>
      <w:r w:rsidRPr="00DA0D9C">
        <w:rPr>
          <w:rFonts w:cstheme="minorHAnsi"/>
          <w:color w:val="000000"/>
          <w:sz w:val="22"/>
          <w:szCs w:val="22"/>
          <w:lang w:val="es-ES_tradnl"/>
        </w:rPr>
        <w:t>(</w:t>
      </w:r>
      <w:r>
        <w:rPr>
          <w:rFonts w:cstheme="minorHAnsi"/>
          <w:color w:val="000000"/>
          <w:sz w:val="22"/>
          <w:szCs w:val="22"/>
          <w:lang w:val="es-ES_tradnl"/>
        </w:rPr>
        <w:t>unilateral o bilateral)</w:t>
      </w:r>
    </w:p>
    <w:p w14:paraId="43E86DB6" w14:textId="69B33D24" w:rsidR="00DA0D9C" w:rsidRPr="00DA0D9C" w:rsidRDefault="00DA0D9C" w:rsidP="00DA0D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s-ES_tradnl"/>
        </w:rPr>
      </w:pPr>
      <w:r w:rsidRPr="00DA0D9C">
        <w:rPr>
          <w:rFonts w:cstheme="minorHAnsi"/>
          <w:color w:val="000000"/>
          <w:sz w:val="22"/>
          <w:szCs w:val="22"/>
          <w:lang w:val="es-ES_tradnl"/>
        </w:rPr>
        <w:t xml:space="preserve">Absceso </w:t>
      </w:r>
      <w:r>
        <w:rPr>
          <w:rFonts w:cstheme="minorHAnsi"/>
          <w:color w:val="000000"/>
          <w:sz w:val="22"/>
          <w:szCs w:val="22"/>
          <w:lang w:val="es-ES_tradnl"/>
        </w:rPr>
        <w:t>tubo- ovárico*</w:t>
      </w:r>
      <w:r w:rsidRPr="00DA0D9C">
        <w:rPr>
          <w:rFonts w:cstheme="minorHAnsi"/>
          <w:color w:val="000000"/>
          <w:sz w:val="22"/>
          <w:szCs w:val="22"/>
          <w:lang w:val="es-ES_tradnl"/>
        </w:rPr>
        <w:t>(</w:t>
      </w:r>
      <w:r>
        <w:rPr>
          <w:rFonts w:cstheme="minorHAnsi"/>
          <w:color w:val="000000"/>
          <w:sz w:val="22"/>
          <w:szCs w:val="22"/>
          <w:lang w:val="es-ES_tradnl"/>
        </w:rPr>
        <w:t>unilateral o bilateral)</w:t>
      </w:r>
    </w:p>
    <w:p w14:paraId="5890CC68" w14:textId="46C5B7C2" w:rsidR="00DA0D9C" w:rsidRPr="00DA0D9C" w:rsidRDefault="00DA0D9C" w:rsidP="00DA0D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s-ES_tradnl"/>
        </w:rPr>
      </w:pPr>
    </w:p>
    <w:p w14:paraId="68E62824" w14:textId="1C3D6BD1" w:rsidR="00DA0D9C" w:rsidRPr="00DA0D9C" w:rsidRDefault="00DA0D9C">
      <w:pPr>
        <w:rPr>
          <w:u w:val="single"/>
        </w:rPr>
      </w:pPr>
      <w:r w:rsidRPr="00DA0D9C">
        <w:rPr>
          <w:u w:val="single"/>
        </w:rPr>
        <w:t>Fase crónica</w:t>
      </w:r>
    </w:p>
    <w:p w14:paraId="7B5DED51" w14:textId="5D6625B3" w:rsidR="00DA0D9C" w:rsidRDefault="00DA0D9C"/>
    <w:p w14:paraId="6BE0E34C" w14:textId="77777777" w:rsidR="00DA0D9C" w:rsidRPr="00DA0D9C" w:rsidRDefault="00DA0D9C" w:rsidP="00DA0D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s-ES_tradnl"/>
        </w:rPr>
      </w:pPr>
      <w:proofErr w:type="spellStart"/>
      <w:r w:rsidRPr="00DA0D9C">
        <w:rPr>
          <w:rFonts w:ascii="Calibri" w:hAnsi="Calibri" w:cs="Calibri"/>
          <w:color w:val="000000"/>
          <w:sz w:val="22"/>
          <w:szCs w:val="22"/>
          <w:lang w:val="es-ES_tradnl"/>
        </w:rPr>
        <w:t>Hidrosálpinx</w:t>
      </w:r>
      <w:proofErr w:type="spellEnd"/>
      <w:r w:rsidRPr="00DA0D9C">
        <w:rPr>
          <w:rFonts w:ascii="Calibri" w:hAnsi="Calibri" w:cs="Calibri"/>
          <w:color w:val="000000"/>
          <w:sz w:val="22"/>
          <w:szCs w:val="22"/>
          <w:lang w:val="es-ES_tradnl"/>
        </w:rPr>
        <w:t xml:space="preserve">/ </w:t>
      </w:r>
      <w:proofErr w:type="spellStart"/>
      <w:r w:rsidRPr="00DA0D9C">
        <w:rPr>
          <w:rFonts w:ascii="Calibri" w:hAnsi="Calibri" w:cs="Calibri"/>
          <w:color w:val="000000"/>
          <w:sz w:val="22"/>
          <w:szCs w:val="22"/>
          <w:lang w:val="es-ES_tradnl"/>
        </w:rPr>
        <w:t>Piosálpinx</w:t>
      </w:r>
      <w:proofErr w:type="spellEnd"/>
    </w:p>
    <w:p w14:paraId="2D7CBC78" w14:textId="443EABF3" w:rsidR="00DA0D9C" w:rsidRPr="00DA0D9C" w:rsidRDefault="00DA0D9C" w:rsidP="00DA0D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s-ES_tradnl"/>
        </w:rPr>
      </w:pPr>
      <w:r w:rsidRPr="00DA0D9C">
        <w:rPr>
          <w:rFonts w:ascii="Calibri" w:hAnsi="Calibri" w:cs="Calibri"/>
          <w:color w:val="000000"/>
          <w:sz w:val="22"/>
          <w:szCs w:val="22"/>
          <w:lang w:val="es-ES_tradnl"/>
        </w:rPr>
        <w:t>Pared trompa fina</w:t>
      </w:r>
      <w:r>
        <w:rPr>
          <w:rFonts w:ascii="Calibri" w:hAnsi="Calibri" w:cs="Calibri"/>
          <w:color w:val="000000"/>
          <w:sz w:val="22"/>
          <w:szCs w:val="22"/>
          <w:lang w:val="es-ES_tradnl"/>
        </w:rPr>
        <w:t xml:space="preserve"> (&lt; 5mm)</w:t>
      </w:r>
    </w:p>
    <w:p w14:paraId="255703C3" w14:textId="77777777" w:rsidR="00DA0D9C" w:rsidRPr="00DA0D9C" w:rsidRDefault="00DA0D9C" w:rsidP="00DA0D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s-ES_tradnl"/>
        </w:rPr>
      </w:pPr>
      <w:r w:rsidRPr="00DA0D9C">
        <w:rPr>
          <w:rFonts w:ascii="Calibri" w:hAnsi="Calibri" w:cs="Calibri"/>
          <w:color w:val="000000"/>
          <w:sz w:val="22"/>
          <w:szCs w:val="22"/>
          <w:lang w:val="es-ES_tradnl"/>
        </w:rPr>
        <w:t>Septos incompletos</w:t>
      </w:r>
    </w:p>
    <w:p w14:paraId="16382436" w14:textId="33576EF5" w:rsidR="00DA0D9C" w:rsidRPr="00DA0D9C" w:rsidRDefault="00DA0D9C" w:rsidP="00DA0D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s-ES_tradnl"/>
        </w:rPr>
      </w:pPr>
      <w:r w:rsidRPr="00DA0D9C">
        <w:rPr>
          <w:rFonts w:ascii="Calibri" w:hAnsi="Calibri" w:cs="Calibri"/>
          <w:color w:val="000000"/>
          <w:sz w:val="22"/>
          <w:szCs w:val="22"/>
          <w:lang w:val="es-ES_tradnl"/>
        </w:rPr>
        <w:t>Signo del collar de cuentas</w:t>
      </w:r>
      <w:r>
        <w:rPr>
          <w:rFonts w:ascii="Calibri" w:hAnsi="Calibri" w:cs="Calibri"/>
          <w:color w:val="000000"/>
          <w:sz w:val="22"/>
          <w:szCs w:val="22"/>
          <w:lang w:val="es-ES_tradnl"/>
        </w:rPr>
        <w:t>*</w:t>
      </w:r>
    </w:p>
    <w:p w14:paraId="02D1F354" w14:textId="77777777" w:rsidR="00DA0D9C" w:rsidRPr="00DA0D9C" w:rsidRDefault="00DA0D9C" w:rsidP="00DA0D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s-ES_tradnl"/>
        </w:rPr>
      </w:pPr>
      <w:r w:rsidRPr="00DA0D9C">
        <w:rPr>
          <w:rFonts w:ascii="Calibri" w:hAnsi="Calibri" w:cs="Calibri"/>
          <w:color w:val="000000"/>
          <w:sz w:val="22"/>
          <w:szCs w:val="22"/>
          <w:lang w:val="es-ES_tradnl"/>
        </w:rPr>
        <w:t>Adherencias pélvicas</w:t>
      </w:r>
    </w:p>
    <w:p w14:paraId="32C125CF" w14:textId="3C487323" w:rsidR="00DA0D9C" w:rsidRDefault="00DA0D9C"/>
    <w:p w14:paraId="4275E027" w14:textId="3F251B39" w:rsidR="00DA0D9C" w:rsidRDefault="00DA0D9C"/>
    <w:p w14:paraId="6DFD8034" w14:textId="07A6535F" w:rsidR="00265B96" w:rsidRDefault="00DA0D9C" w:rsidP="00265B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3" w:lineRule="auto"/>
        <w:jc w:val="both"/>
        <w:rPr>
          <w:rFonts w:ascii="Calibri" w:hAnsi="Calibri" w:cs="Calibri"/>
          <w:color w:val="000000"/>
          <w:sz w:val="22"/>
          <w:szCs w:val="22"/>
          <w:lang w:val="es-ES_tradnl"/>
        </w:rPr>
      </w:pPr>
      <w:r>
        <w:t xml:space="preserve">*Signo de la rueda dentada: </w:t>
      </w:r>
      <w:r w:rsidR="00265B96" w:rsidRPr="00265B96">
        <w:rPr>
          <w:rFonts w:ascii="Calibri" w:hAnsi="Calibri" w:cs="Calibri"/>
          <w:color w:val="000000"/>
          <w:sz w:val="22"/>
          <w:szCs w:val="22"/>
          <w:lang w:val="es-ES_tradnl"/>
        </w:rPr>
        <w:t xml:space="preserve">fase aguda de la enfermedad inflamatoria </w:t>
      </w:r>
      <w:proofErr w:type="spellStart"/>
      <w:r w:rsidR="00265B96" w:rsidRPr="00265B96">
        <w:rPr>
          <w:rFonts w:ascii="Calibri" w:hAnsi="Calibri" w:cs="Calibri"/>
          <w:color w:val="000000"/>
          <w:sz w:val="22"/>
          <w:szCs w:val="22"/>
          <w:lang w:val="es-ES_tradnl"/>
        </w:rPr>
        <w:t>tubárica</w:t>
      </w:r>
      <w:proofErr w:type="spellEnd"/>
      <w:r w:rsidR="00265B96" w:rsidRPr="00265B96">
        <w:rPr>
          <w:rFonts w:ascii="Calibri" w:hAnsi="Calibri" w:cs="Calibri"/>
          <w:color w:val="000000"/>
          <w:sz w:val="22"/>
          <w:szCs w:val="22"/>
          <w:lang w:val="es-ES_tradnl"/>
        </w:rPr>
        <w:t xml:space="preserve">. Pared de la trompa engrosada con presencia de nódulos </w:t>
      </w:r>
      <w:proofErr w:type="spellStart"/>
      <w:r w:rsidR="00265B96" w:rsidRPr="00265B96">
        <w:rPr>
          <w:rFonts w:ascii="Calibri" w:hAnsi="Calibri" w:cs="Calibri"/>
          <w:color w:val="000000"/>
          <w:sz w:val="22"/>
          <w:szCs w:val="22"/>
          <w:lang w:val="es-ES_tradnl"/>
        </w:rPr>
        <w:t>hiperecogénicos</w:t>
      </w:r>
      <w:proofErr w:type="spellEnd"/>
      <w:r w:rsidR="00265B96" w:rsidRPr="00265B96">
        <w:rPr>
          <w:rFonts w:ascii="Calibri" w:hAnsi="Calibri" w:cs="Calibri"/>
          <w:color w:val="000000"/>
          <w:sz w:val="22"/>
          <w:szCs w:val="22"/>
          <w:lang w:val="es-ES_tradnl"/>
        </w:rPr>
        <w:t xml:space="preserve"> murales</w:t>
      </w:r>
    </w:p>
    <w:p w14:paraId="12D91604" w14:textId="2D2E5B44" w:rsidR="00265B96" w:rsidRDefault="00265B96" w:rsidP="00265B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3" w:lineRule="auto"/>
        <w:jc w:val="both"/>
        <w:rPr>
          <w:rFonts w:ascii="Calibri" w:hAnsi="Calibri" w:cs="Calibri"/>
          <w:color w:val="000000"/>
          <w:sz w:val="22"/>
          <w:szCs w:val="22"/>
          <w:lang w:val="es-ES_tradnl"/>
        </w:rPr>
      </w:pPr>
    </w:p>
    <w:p w14:paraId="4DAE47FB" w14:textId="19D802AB" w:rsidR="00265B96" w:rsidRDefault="00265B96" w:rsidP="00265B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3" w:lineRule="auto"/>
        <w:jc w:val="both"/>
        <w:rPr>
          <w:rFonts w:ascii="Calibri" w:hAnsi="Calibri" w:cs="Calibri"/>
          <w:color w:val="000000"/>
          <w:sz w:val="22"/>
          <w:szCs w:val="22"/>
          <w:lang w:val="es-ES_tradnl"/>
        </w:rPr>
      </w:pPr>
      <w:r>
        <w:rPr>
          <w:rFonts w:ascii="Calibri" w:hAnsi="Calibri" w:cs="Calibri"/>
          <w:color w:val="000000"/>
          <w:sz w:val="22"/>
          <w:szCs w:val="22"/>
          <w:lang w:val="es-ES_tradnl"/>
        </w:rPr>
        <w:t xml:space="preserve">*Signo del collar de cuentas: </w:t>
      </w:r>
      <w:r w:rsidRPr="00265B96">
        <w:rPr>
          <w:rFonts w:ascii="Calibri" w:hAnsi="Calibri" w:cs="Calibri"/>
          <w:color w:val="000000"/>
          <w:sz w:val="22"/>
          <w:szCs w:val="22"/>
          <w:lang w:val="es-ES_tradnl"/>
        </w:rPr>
        <w:t xml:space="preserve">El signo del collar de cuentas: en la fase crónica de la enfermedad inflamatoria </w:t>
      </w:r>
      <w:proofErr w:type="spellStart"/>
      <w:r w:rsidRPr="00265B96">
        <w:rPr>
          <w:rFonts w:ascii="Calibri" w:hAnsi="Calibri" w:cs="Calibri"/>
          <w:color w:val="000000"/>
          <w:sz w:val="22"/>
          <w:szCs w:val="22"/>
          <w:lang w:val="es-ES_tradnl"/>
        </w:rPr>
        <w:t>tubárica</w:t>
      </w:r>
      <w:proofErr w:type="spellEnd"/>
      <w:r w:rsidRPr="00265B96">
        <w:rPr>
          <w:rFonts w:ascii="Calibri" w:hAnsi="Calibri" w:cs="Calibri"/>
          <w:color w:val="000000"/>
          <w:sz w:val="22"/>
          <w:szCs w:val="22"/>
          <w:lang w:val="es-ES_tradnl"/>
        </w:rPr>
        <w:t>. Pared de la trompa fina con presencia de pequeñas irregularidades</w:t>
      </w:r>
    </w:p>
    <w:p w14:paraId="60F941A0" w14:textId="19D0FDEF" w:rsidR="00265B96" w:rsidRDefault="00265B96" w:rsidP="00265B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3" w:lineRule="auto"/>
        <w:jc w:val="both"/>
        <w:rPr>
          <w:rFonts w:ascii="Calibri" w:hAnsi="Calibri" w:cs="Calibri"/>
          <w:color w:val="000000"/>
          <w:sz w:val="22"/>
          <w:szCs w:val="22"/>
          <w:lang w:val="es-ES_tradnl"/>
        </w:rPr>
      </w:pPr>
    </w:p>
    <w:p w14:paraId="2E99A45A" w14:textId="503EC6BE" w:rsidR="00265B96" w:rsidRDefault="00265B96" w:rsidP="00265B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3" w:lineRule="auto"/>
        <w:jc w:val="both"/>
        <w:rPr>
          <w:rFonts w:ascii="Calibri" w:hAnsi="Calibri" w:cs="Calibri"/>
          <w:color w:val="000000"/>
          <w:sz w:val="22"/>
          <w:szCs w:val="22"/>
          <w:lang w:val="es-ES_tradnl"/>
        </w:rPr>
      </w:pPr>
      <w:r>
        <w:rPr>
          <w:rFonts w:ascii="Calibri" w:hAnsi="Calibri" w:cs="Calibri"/>
          <w:color w:val="000000"/>
          <w:sz w:val="22"/>
          <w:szCs w:val="22"/>
          <w:lang w:val="es-ES_tradnl"/>
        </w:rPr>
        <w:t>*Complejo tubo- ovárico. C</w:t>
      </w:r>
      <w:r w:rsidRPr="00265B96">
        <w:rPr>
          <w:rFonts w:ascii="Calibri" w:hAnsi="Calibri" w:cs="Calibri"/>
          <w:color w:val="000000"/>
          <w:sz w:val="22"/>
          <w:szCs w:val="22"/>
          <w:lang w:val="es-ES_tradnl"/>
        </w:rPr>
        <w:t xml:space="preserve">aracterizado por identificarse el ovario y la trompa, pero no se pueden separar empujando con la sonda de ecografía vaginal. Esta lesión puede ser unilateral o bilateral. </w:t>
      </w:r>
    </w:p>
    <w:p w14:paraId="135B3C98" w14:textId="4240646B" w:rsidR="00265B96" w:rsidRDefault="00265B96" w:rsidP="00265B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3" w:lineRule="auto"/>
        <w:jc w:val="both"/>
        <w:rPr>
          <w:rFonts w:ascii="Calibri" w:hAnsi="Calibri" w:cs="Calibri"/>
          <w:color w:val="000000"/>
          <w:sz w:val="22"/>
          <w:szCs w:val="22"/>
          <w:lang w:val="es-ES_tradnl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es-ES_tradnl"/>
        </w:rPr>
        <w:t>Ecogenicidad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_tradnl"/>
        </w:rPr>
        <w:t xml:space="preserve">: mixta; contenido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_tradnl"/>
        </w:rPr>
        <w:t>ground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_tradnl"/>
        </w:rPr>
        <w:t>glass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_tradnl"/>
        </w:rPr>
        <w:t xml:space="preserve">. </w:t>
      </w:r>
    </w:p>
    <w:p w14:paraId="04D83B91" w14:textId="7671E145" w:rsidR="00265B96" w:rsidRDefault="00265B96" w:rsidP="00265B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3" w:lineRule="auto"/>
        <w:jc w:val="both"/>
        <w:rPr>
          <w:rFonts w:ascii="Calibri" w:hAnsi="Calibri" w:cs="Calibri"/>
          <w:color w:val="000000"/>
          <w:sz w:val="22"/>
          <w:szCs w:val="22"/>
          <w:lang w:val="es-ES_tradnl"/>
        </w:rPr>
      </w:pPr>
    </w:p>
    <w:p w14:paraId="09DC0BBB" w14:textId="7A90C876" w:rsidR="00265B96" w:rsidRDefault="00265B96" w:rsidP="00265B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3" w:lineRule="auto"/>
        <w:jc w:val="both"/>
        <w:rPr>
          <w:rFonts w:ascii="Calibri" w:hAnsi="Calibri" w:cs="Calibri"/>
          <w:color w:val="000000"/>
          <w:sz w:val="22"/>
          <w:szCs w:val="22"/>
          <w:lang w:val="es-ES_tradnl"/>
        </w:rPr>
      </w:pPr>
      <w:r>
        <w:rPr>
          <w:rFonts w:ascii="Calibri" w:hAnsi="Calibri" w:cs="Calibri"/>
          <w:color w:val="000000"/>
          <w:sz w:val="22"/>
          <w:szCs w:val="22"/>
          <w:lang w:val="es-ES_tradnl"/>
        </w:rPr>
        <w:t>*Absceso tubo- ovárico</w:t>
      </w:r>
      <w:r w:rsidRPr="00265B96">
        <w:rPr>
          <w:rFonts w:ascii="Calibri" w:hAnsi="Calibri" w:cs="Calibri"/>
          <w:color w:val="000000"/>
          <w:sz w:val="22"/>
          <w:szCs w:val="22"/>
          <w:lang w:val="es-ES_tradnl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  <w:lang w:val="es-ES_tradnl"/>
        </w:rPr>
        <w:t>S</w:t>
      </w:r>
      <w:r w:rsidRPr="00265B96">
        <w:rPr>
          <w:rFonts w:ascii="Calibri" w:hAnsi="Calibri" w:cs="Calibri"/>
          <w:color w:val="000000"/>
          <w:sz w:val="22"/>
          <w:szCs w:val="22"/>
          <w:lang w:val="es-ES_tradnl"/>
        </w:rPr>
        <w:t xml:space="preserve">e define por la presencia de una masa dolorosa en la que el ovario y la trompa no se identifican fácilmente y no es posible separarlos empujando con la sonda de ecografía vaginal. Esta lesión puede ser unilateral o bilateral, asociada o no a la presencia de líquido en el fondo de saco de Douglas. El absceso tubo-ovárico suele ser </w:t>
      </w:r>
      <w:r>
        <w:rPr>
          <w:rFonts w:ascii="Calibri" w:hAnsi="Calibri" w:cs="Calibri"/>
          <w:color w:val="000000"/>
          <w:sz w:val="22"/>
          <w:szCs w:val="22"/>
          <w:lang w:val="es-ES_tradnl"/>
        </w:rPr>
        <w:t xml:space="preserve">estar </w:t>
      </w:r>
      <w:proofErr w:type="gramStart"/>
      <w:r>
        <w:rPr>
          <w:rFonts w:ascii="Calibri" w:hAnsi="Calibri" w:cs="Calibri"/>
          <w:color w:val="000000"/>
          <w:sz w:val="22"/>
          <w:szCs w:val="22"/>
          <w:lang w:val="es-ES_tradnl"/>
        </w:rPr>
        <w:t xml:space="preserve">muy </w:t>
      </w:r>
      <w:r w:rsidRPr="00265B96">
        <w:rPr>
          <w:rFonts w:ascii="Calibri" w:hAnsi="Calibri" w:cs="Calibri"/>
          <w:color w:val="000000"/>
          <w:sz w:val="22"/>
          <w:szCs w:val="22"/>
          <w:lang w:val="es-ES_tradnl"/>
        </w:rPr>
        <w:t xml:space="preserve"> </w:t>
      </w:r>
      <w:proofErr w:type="spellStart"/>
      <w:r w:rsidRPr="00265B96">
        <w:rPr>
          <w:rFonts w:ascii="Calibri" w:hAnsi="Calibri" w:cs="Calibri"/>
          <w:color w:val="000000"/>
          <w:sz w:val="22"/>
          <w:szCs w:val="22"/>
          <w:lang w:val="es-ES_tradnl"/>
        </w:rPr>
        <w:t>vascularizado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  <w:lang w:val="es-ES_tradnl"/>
        </w:rPr>
        <w:t xml:space="preserve">. Representa un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_tradnl"/>
        </w:rPr>
        <w:t>estadío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_tradnl"/>
        </w:rPr>
        <w:t xml:space="preserve"> más avanzado que el complejo tubo- ovárico. </w:t>
      </w:r>
    </w:p>
    <w:p w14:paraId="5AE2FAF1" w14:textId="77777777" w:rsidR="00265B96" w:rsidRDefault="00265B96" w:rsidP="00265B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3" w:lineRule="auto"/>
        <w:jc w:val="both"/>
        <w:rPr>
          <w:rFonts w:ascii="Calibri" w:hAnsi="Calibri" w:cs="Calibri"/>
          <w:color w:val="000000"/>
          <w:sz w:val="22"/>
          <w:szCs w:val="22"/>
          <w:lang w:val="es-ES_tradnl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es-ES_tradnl"/>
        </w:rPr>
        <w:t>Ecogenicidad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_tradnl"/>
        </w:rPr>
        <w:t xml:space="preserve">: mixta; contenido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_tradnl"/>
        </w:rPr>
        <w:t>ground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_tradnl"/>
        </w:rPr>
        <w:t>glass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_tradnl"/>
        </w:rPr>
        <w:t xml:space="preserve">. </w:t>
      </w:r>
    </w:p>
    <w:p w14:paraId="1F67598B" w14:textId="77777777" w:rsidR="00265B96" w:rsidRPr="00265B96" w:rsidRDefault="00265B96" w:rsidP="00265B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3" w:lineRule="auto"/>
        <w:jc w:val="both"/>
        <w:rPr>
          <w:rFonts w:ascii="Calibri" w:hAnsi="Calibri" w:cs="Calibri"/>
          <w:color w:val="000000"/>
          <w:sz w:val="22"/>
          <w:szCs w:val="22"/>
          <w:lang w:val="es-ES_tradnl"/>
        </w:rPr>
      </w:pPr>
    </w:p>
    <w:p w14:paraId="01AA7087" w14:textId="5742D15B" w:rsidR="00265B96" w:rsidRPr="00265B96" w:rsidRDefault="00265B96" w:rsidP="00265B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3" w:lineRule="auto"/>
        <w:jc w:val="both"/>
        <w:rPr>
          <w:rFonts w:ascii="Calibri" w:hAnsi="Calibri" w:cs="Calibri"/>
          <w:color w:val="000000"/>
          <w:sz w:val="32"/>
          <w:szCs w:val="32"/>
          <w:lang w:val="es-ES_tradnl"/>
        </w:rPr>
      </w:pPr>
    </w:p>
    <w:p w14:paraId="667001F0" w14:textId="320C3848" w:rsidR="00265B96" w:rsidRPr="00265B96" w:rsidRDefault="00265B96" w:rsidP="00265B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3" w:lineRule="auto"/>
        <w:jc w:val="both"/>
        <w:rPr>
          <w:rFonts w:ascii="Calibri" w:hAnsi="Calibri" w:cs="Calibri"/>
          <w:color w:val="000000"/>
          <w:sz w:val="22"/>
          <w:szCs w:val="22"/>
          <w:lang w:val="es-ES_tradnl"/>
        </w:rPr>
      </w:pPr>
    </w:p>
    <w:p w14:paraId="0D92387F" w14:textId="312C32D1" w:rsidR="00DA0D9C" w:rsidRPr="00265B96" w:rsidRDefault="00DA0D9C">
      <w:pPr>
        <w:rPr>
          <w:lang w:val="es-ES_tradnl"/>
        </w:rPr>
      </w:pPr>
    </w:p>
    <w:sectPr w:rsidR="00DA0D9C" w:rsidRPr="00265B96" w:rsidSect="00810FAD">
      <w:pgSz w:w="11905" w:h="16837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6071"/>
    <w:multiLevelType w:val="hybridMultilevel"/>
    <w:tmpl w:val="147897D6"/>
    <w:lvl w:ilvl="0" w:tplc="BBF63C70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9C"/>
    <w:rsid w:val="00265B96"/>
    <w:rsid w:val="005C7CA3"/>
    <w:rsid w:val="00810FAD"/>
    <w:rsid w:val="00B56962"/>
    <w:rsid w:val="00DA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3E9EF4"/>
  <w15:chartTrackingRefBased/>
  <w15:docId w15:val="{6BC39292-CAE2-2348-93EE-BEB022C3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2022-05-30T11:15:00Z</dcterms:created>
  <dcterms:modified xsi:type="dcterms:W3CDTF">2022-05-30T11:25:00Z</dcterms:modified>
</cp:coreProperties>
</file>